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9E2B2" w14:textId="37B79F24" w:rsidR="00542474" w:rsidRPr="00C91947" w:rsidRDefault="0093308A" w:rsidP="00C91947">
      <w:pPr>
        <w:ind w:firstLine="0"/>
        <w:jc w:val="center"/>
        <w:rPr>
          <w:b/>
        </w:rPr>
      </w:pPr>
      <w:r w:rsidRPr="00C91947">
        <w:rPr>
          <w:b/>
        </w:rPr>
        <w:t>Physio</w:t>
      </w:r>
      <w:r w:rsidR="00C91947" w:rsidRPr="00C91947">
        <w:rPr>
          <w:b/>
        </w:rPr>
        <w:t>logy</w:t>
      </w:r>
    </w:p>
    <w:p w14:paraId="6C3283C7" w14:textId="67CB6AD2" w:rsidR="00486A03" w:rsidRDefault="0093308A" w:rsidP="005B5B6A">
      <w:r w:rsidRPr="00486A03">
        <w:t>Synapse</w:t>
      </w:r>
      <w:r>
        <w:t xml:space="preserve"> </w:t>
      </w:r>
      <w:r w:rsidRPr="00486A03">
        <w:t>(the interaction point of two neurons) is the region where ligand</w:t>
      </w:r>
      <w:r w:rsidR="00D639F5">
        <w:t>-</w:t>
      </w:r>
      <w:r w:rsidRPr="00486A03">
        <w:t xml:space="preserve">gated sodium </w:t>
      </w:r>
      <w:r w:rsidR="00A031AB">
        <w:t>together with</w:t>
      </w:r>
      <w:r w:rsidRPr="00486A03">
        <w:t xml:space="preserve"> calcium channels </w:t>
      </w:r>
      <w:r>
        <w:t>reside</w:t>
      </w:r>
      <w:bookmarkStart w:id="0" w:name="_GoBack"/>
      <w:bookmarkEnd w:id="0"/>
      <w:r w:rsidRPr="00486A03">
        <w:t xml:space="preserve"> in neuron</w:t>
      </w:r>
      <w:r w:rsidR="00D639F5">
        <w:t>s</w:t>
      </w:r>
      <w:r w:rsidRPr="00486A03">
        <w:t xml:space="preserve">. When </w:t>
      </w:r>
      <w:r w:rsidR="00D31C7F" w:rsidRPr="00486A03">
        <w:t>an</w:t>
      </w:r>
      <w:r w:rsidRPr="00486A03">
        <w:t xml:space="preserve"> adjacent neuron releases acetylcholine</w:t>
      </w:r>
      <w:r w:rsidR="00295354">
        <w:t>,</w:t>
      </w:r>
      <w:r w:rsidRPr="00486A03">
        <w:t xml:space="preserve"> that binds to </w:t>
      </w:r>
      <w:r w:rsidR="00D31C7F" w:rsidRPr="00486A03">
        <w:t>its</w:t>
      </w:r>
      <w:r w:rsidRPr="00486A03">
        <w:t xml:space="preserve"> receptor and the sodium channels open, leading to </w:t>
      </w:r>
      <w:r w:rsidR="00D639F5">
        <w:t xml:space="preserve">an </w:t>
      </w:r>
      <w:r w:rsidRPr="00486A03">
        <w:t>influx of sodium from the exterior to the cell body.</w:t>
      </w:r>
      <w:r w:rsidR="005B5B6A">
        <w:t xml:space="preserve"> </w:t>
      </w:r>
      <w:r>
        <w:t xml:space="preserve">The resting potential of cells </w:t>
      </w:r>
      <w:r w:rsidR="0081268B">
        <w:t>is</w:t>
      </w:r>
      <w:r>
        <w:t xml:space="preserve"> -60mV; when the influx of sodium is increased, the </w:t>
      </w:r>
      <w:r w:rsidR="00D31C7F">
        <w:t>sodium</w:t>
      </w:r>
      <w:r>
        <w:t xml:space="preserve"> reaches to axon hillock and makes it</w:t>
      </w:r>
      <w:r w:rsidR="000B55D2">
        <w:t>s</w:t>
      </w:r>
      <w:r>
        <w:t xml:space="preserve"> potential increase </w:t>
      </w:r>
      <w:r>
        <w:t>to -35mV (</w:t>
      </w:r>
      <w:r w:rsidR="00295354">
        <w:t>Depolarization</w:t>
      </w:r>
      <w:r>
        <w:t>)</w:t>
      </w:r>
      <w:r w:rsidR="00AD223B">
        <w:t>. Hence,</w:t>
      </w:r>
      <w:r>
        <w:t xml:space="preserve"> a change in voltage </w:t>
      </w:r>
      <w:r w:rsidR="00D31C7F">
        <w:t>happens</w:t>
      </w:r>
      <w:r>
        <w:t xml:space="preserve"> in that area. The voltage</w:t>
      </w:r>
      <w:r w:rsidR="00AD223B">
        <w:t>-</w:t>
      </w:r>
      <w:r>
        <w:t>gated sodium channel open</w:t>
      </w:r>
      <w:r w:rsidR="00974F31">
        <w:t>s</w:t>
      </w:r>
      <w:r w:rsidR="005B5B6A">
        <w:t xml:space="preserve"> </w:t>
      </w:r>
      <w:r w:rsidR="00756E5C">
        <w:t>(</w:t>
      </w:r>
      <w:r w:rsidR="00C91947">
        <w:rPr>
          <w:rFonts w:cs="Times New Roman"/>
          <w:color w:val="222222"/>
          <w:szCs w:val="24"/>
          <w:shd w:val="clear" w:color="auto" w:fill="FFFFFF"/>
        </w:rPr>
        <w:t>Marban et al.</w:t>
      </w:r>
      <w:r w:rsidR="00756E5C" w:rsidRPr="005979D3">
        <w:rPr>
          <w:rFonts w:cs="Times New Roman"/>
          <w:color w:val="222222"/>
          <w:szCs w:val="24"/>
          <w:shd w:val="clear" w:color="auto" w:fill="FFFFFF"/>
        </w:rPr>
        <w:t>,</w:t>
      </w:r>
      <w:r w:rsidR="00756E5C">
        <w:rPr>
          <w:rFonts w:cs="Times New Roman"/>
          <w:color w:val="222222"/>
          <w:szCs w:val="24"/>
          <w:shd w:val="clear" w:color="auto" w:fill="FFFFFF"/>
        </w:rPr>
        <w:t xml:space="preserve"> 1998</w:t>
      </w:r>
      <w:r>
        <w:t>)</w:t>
      </w:r>
      <w:r w:rsidR="005B5B6A">
        <w:t>,</w:t>
      </w:r>
      <w:r>
        <w:t xml:space="preserve"> leading to </w:t>
      </w:r>
      <w:r w:rsidR="00AD223B">
        <w:t xml:space="preserve">an </w:t>
      </w:r>
      <w:r>
        <w:t xml:space="preserve">influx of sodium, leading to a cascade of </w:t>
      </w:r>
      <w:r w:rsidR="00D31C7F">
        <w:t>Depolarization</w:t>
      </w:r>
      <w:r>
        <w:t xml:space="preserve"> change in voltage, </w:t>
      </w:r>
      <w:r w:rsidR="00AD223B">
        <w:t xml:space="preserve">the </w:t>
      </w:r>
      <w:r>
        <w:t xml:space="preserve">opening of adjacent channel all through the axon. </w:t>
      </w:r>
      <w:r w:rsidR="00AD223B">
        <w:t>A s</w:t>
      </w:r>
      <w:r>
        <w:t xml:space="preserve">udden influx of amount of sodium, generating a threshold that leads to </w:t>
      </w:r>
      <w:r w:rsidR="00D713CA">
        <w:t xml:space="preserve">an </w:t>
      </w:r>
      <w:r>
        <w:t>action potential. A cationic gradient through the neuron is generated, leading to membrane potential to +60mV. Due to that, volta</w:t>
      </w:r>
      <w:r>
        <w:t>ge</w:t>
      </w:r>
      <w:r w:rsidR="00D713CA">
        <w:t>-</w:t>
      </w:r>
      <w:r>
        <w:t>gated potassium channel opens up</w:t>
      </w:r>
      <w:r w:rsidR="001D2593">
        <w:t>,</w:t>
      </w:r>
      <w:r>
        <w:t xml:space="preserve"> leading to </w:t>
      </w:r>
      <w:r w:rsidR="001D2593">
        <w:t xml:space="preserve">the </w:t>
      </w:r>
      <w:r>
        <w:t xml:space="preserve">efflux of potassium to decrease to resting potential, leading to repolarization, due to excessive efflux of potassium reaches-80mV hyperpolarization </w:t>
      </w:r>
      <w:r w:rsidR="00756E5C">
        <w:t>(</w:t>
      </w:r>
      <w:r w:rsidR="00756E5C" w:rsidRPr="005979D3">
        <w:rPr>
          <w:rFonts w:cs="Times New Roman"/>
          <w:color w:val="222222"/>
          <w:szCs w:val="24"/>
          <w:shd w:val="clear" w:color="auto" w:fill="FFFFFF"/>
        </w:rPr>
        <w:t>Noam &amp; Baram</w:t>
      </w:r>
      <w:r w:rsidR="00756E5C">
        <w:rPr>
          <w:rFonts w:cs="Times New Roman"/>
          <w:color w:val="222222"/>
          <w:szCs w:val="24"/>
          <w:shd w:val="clear" w:color="auto" w:fill="FFFFFF"/>
        </w:rPr>
        <w:t>, 2010</w:t>
      </w:r>
      <w:r>
        <w:t xml:space="preserve">). Towards resting potential, </w:t>
      </w:r>
      <w:r w:rsidR="001D2593">
        <w:t xml:space="preserve">an </w:t>
      </w:r>
      <w:r>
        <w:t>ope</w:t>
      </w:r>
      <w:r>
        <w:t>n potassium channel start</w:t>
      </w:r>
      <w:r w:rsidR="001D2593">
        <w:t>s</w:t>
      </w:r>
      <w:r>
        <w:t xml:space="preserve"> releasing potassium, restoring resting potential.</w:t>
      </w:r>
    </w:p>
    <w:p w14:paraId="45FCAB8D" w14:textId="75C17321" w:rsidR="00B64BB7" w:rsidRPr="002047F9" w:rsidRDefault="0093308A" w:rsidP="005B5B6A">
      <w:r>
        <w:t xml:space="preserve">If the sodium channel is inhibited, there will be binding of acetylcholine. Still, no influx of sodium, so </w:t>
      </w:r>
      <w:r w:rsidR="00D31C7F">
        <w:t>Depolarization</w:t>
      </w:r>
      <w:r>
        <w:t xml:space="preserve"> would not be started, the threshold for reaching action p</w:t>
      </w:r>
      <w:r>
        <w:t>otential will not be reached</w:t>
      </w:r>
      <w:sdt>
        <w:sdtPr>
          <w:id w:val="1738213852"/>
          <w:citation/>
        </w:sdtPr>
        <w:sdtEndPr/>
        <w:sdtContent>
          <w:r w:rsidR="00F658CE">
            <w:fldChar w:fldCharType="begin"/>
          </w:r>
          <w:r w:rsidR="00F658CE">
            <w:instrText xml:space="preserve"> CITATION Med12 \l 1033 </w:instrText>
          </w:r>
          <w:r w:rsidR="00F658CE">
            <w:fldChar w:fldCharType="separate"/>
          </w:r>
          <w:r w:rsidR="00F658CE">
            <w:rPr>
              <w:noProof/>
            </w:rPr>
            <w:t xml:space="preserve"> (Medbullets, 2012)</w:t>
          </w:r>
          <w:r w:rsidR="00F658CE">
            <w:fldChar w:fldCharType="end"/>
          </w:r>
        </w:sdtContent>
      </w:sdt>
      <w:r>
        <w:t>.</w:t>
      </w:r>
      <w:r w:rsidR="00F658CE">
        <w:t xml:space="preserve"> </w:t>
      </w:r>
      <w:r>
        <w:t>The sodium channel queue reaches t</w:t>
      </w:r>
      <w:r w:rsidR="001D2593">
        <w:t xml:space="preserve">he </w:t>
      </w:r>
      <w:r>
        <w:t xml:space="preserve">terminal of </w:t>
      </w:r>
      <w:r w:rsidR="001D2593">
        <w:t xml:space="preserve">an </w:t>
      </w:r>
      <w:r>
        <w:t xml:space="preserve">axon; the voltage is sensed by voltage-gated calcium channels, </w:t>
      </w:r>
      <w:r w:rsidR="00234CAC">
        <w:t>in fluxing</w:t>
      </w:r>
      <w:r>
        <w:t xml:space="preserve"> calcium, leading to acetylcholine vesicle fusion to </w:t>
      </w:r>
      <w:r>
        <w:t>the membrane, helping to transfer the signal to adjacent neurons.</w:t>
      </w:r>
      <w:r w:rsidR="005B5B6A">
        <w:t xml:space="preserve"> </w:t>
      </w:r>
      <w:r>
        <w:t>An action potential is essential as it mediates the neuronal signal to adjacent neurons. It helps to transfer the data; if it</w:t>
      </w:r>
      <w:r w:rsidR="00D31C7F">
        <w:t xml:space="preserve"> i</w:t>
      </w:r>
      <w:r>
        <w:t>s not that, then the calcium channels leading to activating adj</w:t>
      </w:r>
      <w:r>
        <w:t>acent cell's acetylcholine receptor would not be activated, so action potential is needed to pass on the signal.</w:t>
      </w:r>
    </w:p>
    <w:p w14:paraId="36971DFF" w14:textId="09A9E941" w:rsidR="005C374B" w:rsidRPr="002047F9" w:rsidRDefault="0093308A" w:rsidP="005C374B">
      <w:pPr>
        <w:ind w:firstLine="0"/>
        <w:jc w:val="center"/>
        <w:rPr>
          <w:rFonts w:cs="Times New Roman"/>
          <w:b/>
          <w:color w:val="222222"/>
          <w:szCs w:val="24"/>
          <w:shd w:val="clear" w:color="auto" w:fill="FFFFFF"/>
        </w:rPr>
      </w:pPr>
      <w:r w:rsidRPr="002047F9">
        <w:rPr>
          <w:rFonts w:cs="Times New Roman"/>
          <w:b/>
          <w:color w:val="222222"/>
          <w:szCs w:val="24"/>
          <w:shd w:val="clear" w:color="auto" w:fill="FFFFFF"/>
        </w:rPr>
        <w:lastRenderedPageBreak/>
        <w:t>References</w:t>
      </w:r>
    </w:p>
    <w:p w14:paraId="29D11412" w14:textId="1347F520" w:rsidR="005979D3" w:rsidRDefault="0093308A" w:rsidP="005979D3">
      <w:pPr>
        <w:ind w:firstLine="0"/>
        <w:rPr>
          <w:rFonts w:cs="Times New Roman"/>
          <w:color w:val="222222"/>
          <w:szCs w:val="24"/>
          <w:shd w:val="clear" w:color="auto" w:fill="FFFFFF"/>
        </w:rPr>
      </w:pPr>
      <w:r w:rsidRPr="005979D3">
        <w:rPr>
          <w:rFonts w:cs="Times New Roman"/>
          <w:color w:val="222222"/>
          <w:szCs w:val="24"/>
          <w:shd w:val="clear" w:color="auto" w:fill="FFFFFF"/>
        </w:rPr>
        <w:t xml:space="preserve">Marban, E., Yamagishi, T., &amp; Tomaselli, G. F. (1998). Structure and function of voltage‐gated </w:t>
      </w:r>
      <w:r>
        <w:rPr>
          <w:rFonts w:cs="Times New Roman"/>
          <w:color w:val="222222"/>
          <w:szCs w:val="24"/>
          <w:shd w:val="clear" w:color="auto" w:fill="FFFFFF"/>
        </w:rPr>
        <w:tab/>
      </w:r>
      <w:r w:rsidRPr="005979D3">
        <w:rPr>
          <w:rFonts w:cs="Times New Roman"/>
          <w:color w:val="222222"/>
          <w:szCs w:val="24"/>
          <w:shd w:val="clear" w:color="auto" w:fill="FFFFFF"/>
        </w:rPr>
        <w:t>sodium channels. </w:t>
      </w:r>
      <w:r w:rsidRPr="005979D3">
        <w:rPr>
          <w:rFonts w:cs="Times New Roman"/>
          <w:i/>
          <w:iCs/>
          <w:color w:val="222222"/>
          <w:szCs w:val="24"/>
          <w:shd w:val="clear" w:color="auto" w:fill="FFFFFF"/>
        </w:rPr>
        <w:t xml:space="preserve">The Journal of </w:t>
      </w:r>
      <w:r w:rsidR="00B64BB7">
        <w:rPr>
          <w:rFonts w:cs="Times New Roman"/>
          <w:i/>
          <w:iCs/>
          <w:color w:val="222222"/>
          <w:szCs w:val="24"/>
          <w:shd w:val="clear" w:color="auto" w:fill="FFFFFF"/>
        </w:rPr>
        <w:t>P</w:t>
      </w:r>
      <w:r w:rsidRPr="005979D3">
        <w:rPr>
          <w:rFonts w:cs="Times New Roman"/>
          <w:i/>
          <w:iCs/>
          <w:color w:val="222222"/>
          <w:szCs w:val="24"/>
          <w:shd w:val="clear" w:color="auto" w:fill="FFFFFF"/>
        </w:rPr>
        <w:t>hysiology</w:t>
      </w:r>
      <w:r w:rsidRPr="005979D3">
        <w:rPr>
          <w:rFonts w:cs="Times New Roman"/>
          <w:color w:val="222222"/>
          <w:szCs w:val="24"/>
          <w:shd w:val="clear" w:color="auto" w:fill="FFFFFF"/>
        </w:rPr>
        <w:t>, </w:t>
      </w:r>
      <w:r w:rsidRPr="005979D3">
        <w:rPr>
          <w:rFonts w:cs="Times New Roman"/>
          <w:i/>
          <w:iCs/>
          <w:color w:val="222222"/>
          <w:szCs w:val="24"/>
          <w:shd w:val="clear" w:color="auto" w:fill="FFFFFF"/>
        </w:rPr>
        <w:t>508</w:t>
      </w:r>
      <w:r w:rsidRPr="005979D3">
        <w:rPr>
          <w:rFonts w:cs="Times New Roman"/>
          <w:color w:val="222222"/>
          <w:szCs w:val="24"/>
          <w:shd w:val="clear" w:color="auto" w:fill="FFFFFF"/>
        </w:rPr>
        <w:t>(3), 647-657.</w:t>
      </w:r>
    </w:p>
    <w:p w14:paraId="5E2DD68E" w14:textId="6E42F8FF" w:rsidR="00FB771B" w:rsidRDefault="0093308A" w:rsidP="005979D3">
      <w:pPr>
        <w:ind w:firstLine="0"/>
        <w:rPr>
          <w:rFonts w:cs="Times New Roman"/>
          <w:color w:val="222222"/>
          <w:szCs w:val="24"/>
          <w:shd w:val="clear" w:color="auto" w:fill="FFFFFF"/>
        </w:rPr>
      </w:pPr>
      <w:r>
        <w:rPr>
          <w:rFonts w:cs="Times New Roman"/>
          <w:color w:val="222222"/>
          <w:szCs w:val="24"/>
          <w:shd w:val="clear" w:color="auto" w:fill="FFFFFF"/>
        </w:rPr>
        <w:tab/>
      </w:r>
      <w:hyperlink r:id="rId5" w:history="1">
        <w:r w:rsidR="00A26C29" w:rsidRPr="00A26C29">
          <w:rPr>
            <w:rStyle w:val="Hyperlink"/>
            <w:rFonts w:cs="Times New Roman"/>
            <w:szCs w:val="24"/>
            <w:shd w:val="clear" w:color="auto" w:fill="FFFFFF"/>
          </w:rPr>
          <w:t>https://</w:t>
        </w:r>
        <w:r w:rsidRPr="00A26C29">
          <w:rPr>
            <w:rStyle w:val="Hyperlink"/>
            <w:rFonts w:cs="Times New Roman"/>
            <w:shd w:val="clear" w:color="auto" w:fill="FFFFFF"/>
          </w:rPr>
          <w:t>doi: 10.1111/j.1469-7793.1998.647bp.x.</w:t>
        </w:r>
      </w:hyperlink>
    </w:p>
    <w:p w14:paraId="5D34BE2C" w14:textId="7172C5B0" w:rsidR="00F658CE" w:rsidRDefault="0093308A" w:rsidP="00F658CE">
      <w:pPr>
        <w:pStyle w:val="Bibliography"/>
        <w:ind w:left="720" w:hanging="720"/>
        <w:rPr>
          <w:noProof/>
          <w:szCs w:val="24"/>
        </w:rPr>
      </w:pPr>
      <w:r>
        <w:rPr>
          <w:rFonts w:cs="Times New Roman"/>
          <w:color w:val="222222"/>
          <w:szCs w:val="24"/>
          <w:shd w:val="clear" w:color="auto" w:fill="FFFFFF"/>
        </w:rPr>
        <w:fldChar w:fldCharType="begin"/>
      </w:r>
      <w:r>
        <w:rPr>
          <w:rFonts w:cs="Times New Roman"/>
          <w:color w:val="222222"/>
          <w:szCs w:val="24"/>
          <w:shd w:val="clear" w:color="auto" w:fill="FFFFFF"/>
        </w:rPr>
        <w:instrText xml:space="preserve"> BIBLIOGRAPHY  \l 1033 </w:instrText>
      </w:r>
      <w:r>
        <w:rPr>
          <w:rFonts w:cs="Times New Roman"/>
          <w:color w:val="222222"/>
          <w:szCs w:val="24"/>
          <w:shd w:val="clear" w:color="auto" w:fill="FFFFFF"/>
        </w:rPr>
        <w:fldChar w:fldCharType="separate"/>
      </w:r>
      <w:r>
        <w:rPr>
          <w:noProof/>
        </w:rPr>
        <w:t xml:space="preserve">Medbullets. (2012). </w:t>
      </w:r>
      <w:r>
        <w:rPr>
          <w:i/>
          <w:iCs/>
          <w:noProof/>
        </w:rPr>
        <w:t>Neural Action Potential</w:t>
      </w:r>
      <w:r>
        <w:rPr>
          <w:noProof/>
        </w:rPr>
        <w:t xml:space="preserve">. Retrieved from Medbullets: </w:t>
      </w:r>
      <w:hyperlink r:id="rId6" w:history="1">
        <w:r w:rsidRPr="005C374B">
          <w:rPr>
            <w:rStyle w:val="Hyperlink"/>
            <w:noProof/>
          </w:rPr>
          <w:t>https://upload.medbullets.com/topic/107054/images/neuronal%20action%20potential.jpg</w:t>
        </w:r>
      </w:hyperlink>
    </w:p>
    <w:p w14:paraId="54F8C4AE" w14:textId="72794901" w:rsidR="005979D3" w:rsidRDefault="0093308A" w:rsidP="005979D3">
      <w:pPr>
        <w:ind w:firstLine="0"/>
        <w:rPr>
          <w:rFonts w:cs="Times New Roman"/>
          <w:color w:val="222222"/>
          <w:szCs w:val="24"/>
          <w:shd w:val="clear" w:color="auto" w:fill="FFFFFF"/>
        </w:rPr>
      </w:pPr>
      <w:r>
        <w:rPr>
          <w:rFonts w:cs="Times New Roman"/>
          <w:color w:val="222222"/>
          <w:szCs w:val="24"/>
          <w:shd w:val="clear" w:color="auto" w:fill="FFFFFF"/>
        </w:rPr>
        <w:fldChar w:fldCharType="end"/>
      </w:r>
      <w:r w:rsidRPr="005979D3">
        <w:rPr>
          <w:rFonts w:cs="Times New Roman"/>
          <w:color w:val="222222"/>
          <w:szCs w:val="24"/>
          <w:shd w:val="clear" w:color="auto" w:fill="FFFFFF"/>
        </w:rPr>
        <w:t xml:space="preserve">Noam, Y., &amp; Baram, T. Z. (2010). Hyperpolarized views on the roles of the </w:t>
      </w:r>
      <w:r w:rsidRPr="005979D3">
        <w:rPr>
          <w:rFonts w:cs="Times New Roman"/>
          <w:color w:val="222222"/>
          <w:szCs w:val="24"/>
          <w:shd w:val="clear" w:color="auto" w:fill="FFFFFF"/>
        </w:rPr>
        <w:t>hyperpolarization-</w:t>
      </w:r>
      <w:r>
        <w:rPr>
          <w:rFonts w:cs="Times New Roman"/>
          <w:color w:val="222222"/>
          <w:szCs w:val="24"/>
          <w:shd w:val="clear" w:color="auto" w:fill="FFFFFF"/>
        </w:rPr>
        <w:tab/>
      </w:r>
      <w:r w:rsidRPr="005979D3">
        <w:rPr>
          <w:rFonts w:cs="Times New Roman"/>
          <w:color w:val="222222"/>
          <w:szCs w:val="24"/>
          <w:shd w:val="clear" w:color="auto" w:fill="FFFFFF"/>
        </w:rPr>
        <w:t>activated channels in neuronal excitability. </w:t>
      </w:r>
      <w:r w:rsidRPr="005979D3">
        <w:rPr>
          <w:rFonts w:cs="Times New Roman"/>
          <w:i/>
          <w:iCs/>
          <w:color w:val="222222"/>
          <w:szCs w:val="24"/>
          <w:shd w:val="clear" w:color="auto" w:fill="FFFFFF"/>
        </w:rPr>
        <w:t>Epilepsy currents</w:t>
      </w:r>
      <w:r w:rsidRPr="005979D3">
        <w:rPr>
          <w:rFonts w:cs="Times New Roman"/>
          <w:color w:val="222222"/>
          <w:szCs w:val="24"/>
          <w:shd w:val="clear" w:color="auto" w:fill="FFFFFF"/>
        </w:rPr>
        <w:t>, </w:t>
      </w:r>
      <w:r w:rsidRPr="005979D3">
        <w:rPr>
          <w:rFonts w:cs="Times New Roman"/>
          <w:i/>
          <w:iCs/>
          <w:color w:val="222222"/>
          <w:szCs w:val="24"/>
          <w:shd w:val="clear" w:color="auto" w:fill="FFFFFF"/>
        </w:rPr>
        <w:t>10</w:t>
      </w:r>
      <w:r w:rsidRPr="005979D3">
        <w:rPr>
          <w:rFonts w:cs="Times New Roman"/>
          <w:color w:val="222222"/>
          <w:szCs w:val="24"/>
          <w:shd w:val="clear" w:color="auto" w:fill="FFFFFF"/>
        </w:rPr>
        <w:t>(1), 28-30.</w:t>
      </w:r>
    </w:p>
    <w:p w14:paraId="1B9B33A2" w14:textId="364ABA5F" w:rsidR="00A26C29" w:rsidRDefault="0093308A" w:rsidP="005979D3">
      <w:pPr>
        <w:ind w:firstLine="0"/>
        <w:rPr>
          <w:rFonts w:cs="Times New Roman"/>
          <w:color w:val="222222"/>
          <w:szCs w:val="24"/>
          <w:shd w:val="clear" w:color="auto" w:fill="FFFFFF"/>
        </w:rPr>
      </w:pPr>
      <w:r>
        <w:rPr>
          <w:rFonts w:cs="Times New Roman"/>
          <w:color w:val="222222"/>
          <w:szCs w:val="24"/>
          <w:shd w:val="clear" w:color="auto" w:fill="FFFFFF"/>
        </w:rPr>
        <w:tab/>
      </w:r>
      <w:hyperlink r:id="rId7" w:history="1">
        <w:r w:rsidRPr="00A26C29">
          <w:rPr>
            <w:rStyle w:val="Hyperlink"/>
            <w:rFonts w:cs="Times New Roman"/>
            <w:szCs w:val="24"/>
            <w:shd w:val="clear" w:color="auto" w:fill="FFFFFF"/>
          </w:rPr>
          <w:t>https://doi.org/10.1111/j.1535-7511.2009.01344.x</w:t>
        </w:r>
      </w:hyperlink>
    </w:p>
    <w:p w14:paraId="6BDCA26E" w14:textId="0A504096" w:rsidR="005C374B" w:rsidRDefault="005C374B" w:rsidP="005979D3">
      <w:pPr>
        <w:ind w:firstLine="0"/>
        <w:rPr>
          <w:rFonts w:cs="Times New Roman"/>
          <w:color w:val="222222"/>
          <w:szCs w:val="24"/>
          <w:shd w:val="clear" w:color="auto" w:fill="FFFFFF"/>
        </w:rPr>
      </w:pPr>
    </w:p>
    <w:p w14:paraId="07023D45" w14:textId="77F43FF8" w:rsidR="005C374B" w:rsidRDefault="0093308A" w:rsidP="005C374B">
      <w:pPr>
        <w:pStyle w:val="Bibliography"/>
        <w:ind w:left="720" w:hanging="720"/>
        <w:rPr>
          <w:noProof/>
          <w:szCs w:val="24"/>
        </w:rPr>
      </w:pPr>
      <w:r>
        <w:rPr>
          <w:rFonts w:cs="Times New Roman"/>
          <w:color w:val="222222"/>
          <w:szCs w:val="24"/>
          <w:shd w:val="clear" w:color="auto" w:fill="FFFFFF"/>
        </w:rPr>
        <w:fldChar w:fldCharType="begin"/>
      </w:r>
      <w:r>
        <w:rPr>
          <w:rFonts w:cs="Times New Roman"/>
          <w:color w:val="222222"/>
          <w:szCs w:val="24"/>
          <w:shd w:val="clear" w:color="auto" w:fill="FFFFFF"/>
        </w:rPr>
        <w:instrText xml:space="preserve"> BIBLIOGRAPHY  \l 1033 </w:instrText>
      </w:r>
      <w:r>
        <w:rPr>
          <w:rFonts w:cs="Times New Roman"/>
          <w:color w:val="222222"/>
          <w:szCs w:val="24"/>
          <w:shd w:val="clear" w:color="auto" w:fill="FFFFFF"/>
        </w:rPr>
        <w:fldChar w:fldCharType="separate"/>
      </w:r>
    </w:p>
    <w:p w14:paraId="43CA8040" w14:textId="5902E373" w:rsidR="005C374B" w:rsidRPr="005979D3" w:rsidRDefault="0093308A" w:rsidP="005C374B">
      <w:pPr>
        <w:ind w:firstLine="0"/>
        <w:rPr>
          <w:rFonts w:cs="Times New Roman"/>
          <w:color w:val="222222"/>
          <w:szCs w:val="24"/>
          <w:shd w:val="clear" w:color="auto" w:fill="FFFFFF"/>
        </w:rPr>
      </w:pPr>
      <w:r>
        <w:rPr>
          <w:rFonts w:cs="Times New Roman"/>
          <w:color w:val="222222"/>
          <w:szCs w:val="24"/>
          <w:shd w:val="clear" w:color="auto" w:fill="FFFFFF"/>
        </w:rPr>
        <w:fldChar w:fldCharType="end"/>
      </w:r>
    </w:p>
    <w:p w14:paraId="2FA0869A" w14:textId="77777777" w:rsidR="005979D3" w:rsidRDefault="005979D3" w:rsidP="005979D3">
      <w:pPr>
        <w:ind w:firstLine="0"/>
      </w:pPr>
    </w:p>
    <w:p w14:paraId="1304F2D3" w14:textId="77777777" w:rsidR="00486A03" w:rsidRDefault="00486A03" w:rsidP="00242A0A">
      <w:pPr>
        <w:ind w:firstLine="0"/>
      </w:pPr>
    </w:p>
    <w:sectPr w:rsidR="00486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szA0NDc2MTU3MLRQ0lEKTi0uzszPAykwrAUAYRvAFSwAAAA="/>
  </w:docVars>
  <w:rsids>
    <w:rsidRoot w:val="00242A0A"/>
    <w:rsid w:val="00033C41"/>
    <w:rsid w:val="000B55D2"/>
    <w:rsid w:val="000C2279"/>
    <w:rsid w:val="001D2593"/>
    <w:rsid w:val="002047F9"/>
    <w:rsid w:val="00234CAC"/>
    <w:rsid w:val="00242A0A"/>
    <w:rsid w:val="00245F67"/>
    <w:rsid w:val="00284A4C"/>
    <w:rsid w:val="00295354"/>
    <w:rsid w:val="00333E66"/>
    <w:rsid w:val="00416D60"/>
    <w:rsid w:val="00486A03"/>
    <w:rsid w:val="00542474"/>
    <w:rsid w:val="005979D3"/>
    <w:rsid w:val="005B5B6A"/>
    <w:rsid w:val="005C374B"/>
    <w:rsid w:val="00636545"/>
    <w:rsid w:val="00691E41"/>
    <w:rsid w:val="00756E5C"/>
    <w:rsid w:val="007E5934"/>
    <w:rsid w:val="0081268B"/>
    <w:rsid w:val="0093308A"/>
    <w:rsid w:val="00974F31"/>
    <w:rsid w:val="009A216E"/>
    <w:rsid w:val="00A031AB"/>
    <w:rsid w:val="00A26C29"/>
    <w:rsid w:val="00AB2E55"/>
    <w:rsid w:val="00AD223B"/>
    <w:rsid w:val="00B64BB7"/>
    <w:rsid w:val="00C91947"/>
    <w:rsid w:val="00CA75EF"/>
    <w:rsid w:val="00D31C7F"/>
    <w:rsid w:val="00D42EB8"/>
    <w:rsid w:val="00D639F5"/>
    <w:rsid w:val="00D713CA"/>
    <w:rsid w:val="00E21CC0"/>
    <w:rsid w:val="00F658CE"/>
    <w:rsid w:val="00FB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75897"/>
  <w15:chartTrackingRefBased/>
  <w15:docId w15:val="{A5344A2A-59DA-4658-96DD-BB990073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C4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C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6C29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F658CE"/>
  </w:style>
  <w:style w:type="paragraph" w:styleId="Header">
    <w:name w:val="header"/>
    <w:basedOn w:val="Normal"/>
    <w:link w:val="HeaderChar"/>
    <w:uiPriority w:val="99"/>
    <w:unhideWhenUsed/>
    <w:rsid w:val="005424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47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424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47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11/j.1535-7511.2009.01344.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pload.medbullets.com/topic/107054/images/neuronal%20action%20potential.jpg" TargetMode="External"/><Relationship Id="rId5" Type="http://schemas.openxmlformats.org/officeDocument/2006/relationships/hyperlink" Target="https://doi:%2010.1111/j.1469-7793.1998.647bp.x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Med12</b:Tag>
    <b:SourceType>InternetSite</b:SourceType>
    <b:Guid>{9CF2D4B5-E9F2-4CC7-B62E-64A486D41326}</b:Guid>
    <b:Author>
      <b:Author>
        <b:NameList>
          <b:Person>
            <b:Last>Medbullets</b:Last>
          </b:Person>
        </b:NameList>
      </b:Author>
    </b:Author>
    <b:Title>Neural Action Potential</b:Title>
    <b:InternetSiteTitle>Medbullets</b:InternetSiteTitle>
    <b:Year>2012</b:Year>
    <b:URL>https://upload.medbullets.com/topic/107054/images/neuronal%20action%20potential.jpg</b:URL>
    <b:RefOrder>2</b:RefOrder>
  </b:Source>
  <b:Source>
    <b:Tag>Wil13</b:Tag>
    <b:SourceType>InternetSite</b:SourceType>
    <b:Guid>{162E31A4-6BDC-4871-A3F5-6A132D9F4219}</b:Guid>
    <b:Author>
      <b:Author>
        <b:NameList>
          <b:Person>
            <b:Last>Catterall</b:Last>
            <b:First>William</b:First>
            <b:Middle>A.</b:Middle>
          </b:Person>
        </b:NameList>
      </b:Author>
    </b:Author>
    <b:Title>Voltage-Gated Sodium and Calcium Channels</b:Title>
    <b:InternetSiteTitle>springer</b:InternetSiteTitle>
    <b:Year>2013</b:Year>
    <b:URL>DOI: https://doi.org/10.1007/978-3-642-16712-6_357</b:URL>
    <b:RefOrder>1</b:RefOrder>
  </b:Source>
</b:Sources>
</file>

<file path=customXml/itemProps1.xml><?xml version="1.0" encoding="utf-8"?>
<ds:datastoreItem xmlns:ds="http://schemas.openxmlformats.org/officeDocument/2006/customXml" ds:itemID="{F1C0F922-05BF-4152-A5B7-F6EC29A4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Esianda</dc:creator>
  <cp:lastModifiedBy>LAPTOP</cp:lastModifiedBy>
  <cp:revision>26</cp:revision>
  <dcterms:created xsi:type="dcterms:W3CDTF">2021-02-09T18:15:00Z</dcterms:created>
  <dcterms:modified xsi:type="dcterms:W3CDTF">2021-02-10T12:08:00Z</dcterms:modified>
</cp:coreProperties>
</file>